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3FA9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4"/>
          <w:szCs w:val="34"/>
          <w:u w:val="none"/>
          <w:lang w:val="en-US" w:eastAsia="zh-CN" w:bidi="ar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4"/>
          <w:szCs w:val="34"/>
          <w:u w:val="none"/>
          <w:lang w:val="en-US" w:eastAsia="zh-CN" w:bidi="ar"/>
        </w:rPr>
        <w:t>安徽汽车职业技术学院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2025年教职工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校园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招聘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计划</w:t>
      </w:r>
      <w:r>
        <w:rPr>
          <w:rFonts w:hint="eastAsia" w:ascii="宋体" w:hAnsi="宋体" w:cs="宋体"/>
          <w:b/>
          <w:bCs/>
          <w:color w:val="auto"/>
          <w:sz w:val="21"/>
          <w:szCs w:val="21"/>
          <w:lang w:val="en-US" w:eastAsia="zh-CN"/>
        </w:rPr>
        <w:t>（第三批次）</w:t>
      </w:r>
    </w:p>
    <w:tbl>
      <w:tblPr>
        <w:tblStyle w:val="3"/>
        <w:tblW w:w="149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465"/>
        <w:gridCol w:w="1189"/>
        <w:gridCol w:w="3807"/>
        <w:gridCol w:w="1166"/>
        <w:gridCol w:w="1500"/>
        <w:gridCol w:w="4488"/>
      </w:tblGrid>
      <w:tr w14:paraId="47482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7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1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0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09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D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招聘岗位所需资格条件</w:t>
            </w:r>
          </w:p>
        </w:tc>
      </w:tr>
      <w:tr w14:paraId="4AD35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6C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48C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1D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6E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C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B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</w:tr>
      <w:tr w14:paraId="47888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汽车工程系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机电工程系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9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0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DC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车辆工程、交通运输工程、交通运输、机械工程、电气工程等学科。</w:t>
            </w:r>
            <w:bookmarkEnd w:id="0"/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8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6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8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车辆工程专业的毕业生，若其所在院校在中国大学第五轮学科评估中机械工程学科获得B+及以上评级，且表现优秀，其学历可放宽至本科学历。</w:t>
            </w:r>
          </w:p>
        </w:tc>
      </w:tr>
    </w:tbl>
    <w:p w14:paraId="33EAD29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</w:p>
    <w:p w14:paraId="56C5562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D570E"/>
    <w:rsid w:val="190D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